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56" w:beforeLines="50" w:after="156" w:afterLines="50" w:line="360" w:lineRule="auto"/>
        <w:jc w:val="left"/>
        <w:rPr>
          <w:rFonts w:hint="eastAsia" w:ascii="宋体" w:hAnsi="宋体" w:cs="宋体"/>
          <w:b/>
          <w:bCs/>
          <w:color w:val="000000"/>
          <w:kern w:val="36"/>
          <w:sz w:val="36"/>
          <w:szCs w:val="36"/>
        </w:rPr>
      </w:pPr>
      <w:r>
        <w:rPr>
          <w:rFonts w:hint="eastAsia" w:ascii="宋体" w:hAnsi="宋体" w:cs="宋体"/>
          <w:b/>
          <w:bCs/>
          <w:color w:val="000000"/>
          <w:kern w:val="36"/>
          <w:sz w:val="36"/>
          <w:szCs w:val="36"/>
        </w:rPr>
        <w:t>附件</w:t>
      </w:r>
      <w:r>
        <w:rPr>
          <w:rFonts w:hint="eastAsia" w:ascii="宋体" w:hAnsi="宋体" w:cs="宋体"/>
          <w:b/>
          <w:bCs/>
          <w:color w:val="000000"/>
          <w:kern w:val="36"/>
          <w:sz w:val="36"/>
          <w:szCs w:val="36"/>
          <w:lang w:val="en-US" w:eastAsia="zh-CN"/>
        </w:rPr>
        <w:t>1</w:t>
      </w:r>
      <w:r>
        <w:rPr>
          <w:rFonts w:hint="eastAsia" w:ascii="宋体" w:hAnsi="宋体" w:cs="宋体"/>
          <w:b/>
          <w:bCs/>
          <w:color w:val="000000"/>
          <w:kern w:val="36"/>
          <w:sz w:val="36"/>
          <w:szCs w:val="36"/>
        </w:rPr>
        <w:t>：</w:t>
      </w:r>
    </w:p>
    <w:p>
      <w:pPr>
        <w:spacing w:line="480" w:lineRule="exact"/>
        <w:jc w:val="center"/>
        <w:rPr>
          <w:rFonts w:hint="eastAsia" w:ascii="仿宋_GB2312" w:eastAsia="仿宋_GB2312"/>
          <w:b/>
          <w:sz w:val="32"/>
          <w:szCs w:val="32"/>
        </w:rPr>
      </w:pPr>
      <w:r>
        <w:rPr>
          <w:rFonts w:hint="eastAsia" w:ascii="仿宋_GB2312" w:eastAsia="仿宋_GB2312"/>
          <w:b/>
          <w:sz w:val="32"/>
          <w:szCs w:val="32"/>
        </w:rPr>
        <w:t>四川省教</w:t>
      </w:r>
      <w:bookmarkStart w:id="0" w:name="_GoBack"/>
      <w:bookmarkEnd w:id="0"/>
      <w:r>
        <w:rPr>
          <w:rFonts w:hint="eastAsia" w:ascii="仿宋_GB2312" w:eastAsia="仿宋_GB2312"/>
          <w:b/>
          <w:sz w:val="32"/>
          <w:szCs w:val="32"/>
        </w:rPr>
        <w:t>育厅人文社会科学重点研究基地</w:t>
      </w:r>
    </w:p>
    <w:p>
      <w:pPr>
        <w:spacing w:line="480" w:lineRule="exact"/>
        <w:jc w:val="center"/>
        <w:rPr>
          <w:rFonts w:hint="eastAsia" w:ascii="仿宋_GB2312" w:eastAsia="仿宋_GB2312"/>
          <w:b/>
          <w:sz w:val="32"/>
          <w:szCs w:val="32"/>
        </w:rPr>
      </w:pPr>
      <w:r>
        <w:rPr>
          <w:rFonts w:ascii="仿宋_GB2312" w:eastAsia="仿宋_GB2312"/>
          <w:b/>
          <w:sz w:val="32"/>
          <w:szCs w:val="32"/>
        </w:rPr>
        <w:t>——</w:t>
      </w:r>
      <w:r>
        <w:rPr>
          <w:rFonts w:hint="eastAsia" w:ascii="仿宋_GB2312" w:eastAsia="仿宋_GB2312"/>
          <w:b/>
          <w:sz w:val="32"/>
          <w:szCs w:val="32"/>
        </w:rPr>
        <w:t>马铃薯主粮化战略研究中心</w:t>
      </w:r>
      <w:r>
        <w:rPr>
          <w:rFonts w:ascii="仿宋_GB2312" w:eastAsia="仿宋_GB2312"/>
          <w:b/>
          <w:sz w:val="32"/>
          <w:szCs w:val="32"/>
        </w:rPr>
        <w:t>201</w:t>
      </w:r>
      <w:r>
        <w:rPr>
          <w:rFonts w:hint="eastAsia" w:ascii="仿宋_GB2312" w:eastAsia="仿宋_GB2312"/>
          <w:b/>
          <w:sz w:val="32"/>
          <w:szCs w:val="32"/>
          <w:lang w:val="en-US" w:eastAsia="zh-CN"/>
        </w:rPr>
        <w:t>8</w:t>
      </w:r>
      <w:r>
        <w:rPr>
          <w:rFonts w:hint="eastAsia" w:ascii="仿宋_GB2312" w:eastAsia="仿宋_GB2312"/>
          <w:b/>
          <w:sz w:val="32"/>
          <w:szCs w:val="32"/>
        </w:rPr>
        <w:t>年立项项目一览表</w:t>
      </w:r>
    </w:p>
    <w:tbl>
      <w:tblPr>
        <w:tblStyle w:val="4"/>
        <w:tblW w:w="12785" w:type="dxa"/>
        <w:tblInd w:w="0" w:type="dxa"/>
        <w:tblLayout w:type="fixed"/>
        <w:tblCellMar>
          <w:top w:w="15" w:type="dxa"/>
          <w:left w:w="15" w:type="dxa"/>
          <w:bottom w:w="15" w:type="dxa"/>
          <w:right w:w="15" w:type="dxa"/>
        </w:tblCellMar>
      </w:tblPr>
      <w:tblGrid>
        <w:gridCol w:w="1276"/>
        <w:gridCol w:w="1263"/>
        <w:gridCol w:w="2337"/>
        <w:gridCol w:w="5398"/>
        <w:gridCol w:w="1261"/>
        <w:gridCol w:w="1250"/>
      </w:tblGrid>
      <w:tr>
        <w:tblPrEx>
          <w:tblLayout w:type="fixed"/>
          <w:tblCellMar>
            <w:top w:w="15" w:type="dxa"/>
            <w:left w:w="15" w:type="dxa"/>
            <w:bottom w:w="15" w:type="dxa"/>
            <w:right w:w="15" w:type="dxa"/>
          </w:tblCellMar>
        </w:tblPrEx>
        <w:trPr>
          <w:trHeight w:val="892" w:hRule="atLeast"/>
        </w:trPr>
        <w:tc>
          <w:tcPr>
            <w:tcW w:w="1276"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项目编号</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jc w:val="left"/>
              <w:rPr>
                <w:rFonts w:hint="eastAsia"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申报人</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申报单位</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rPr>
                <w:rFonts w:hint="eastAsia"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课题名称</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项目类别</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b/>
                <w:color w:val="000000"/>
                <w:kern w:val="0"/>
                <w:sz w:val="24"/>
                <w:szCs w:val="24"/>
              </w:rPr>
            </w:pPr>
            <w:r>
              <w:rPr>
                <w:rFonts w:hint="eastAsia" w:ascii="仿宋_GB2312" w:hAnsi="宋体" w:eastAsia="仿宋_GB2312" w:cs="宋体"/>
                <w:b/>
                <w:color w:val="000000"/>
                <w:kern w:val="0"/>
                <w:sz w:val="24"/>
                <w:szCs w:val="24"/>
              </w:rPr>
              <w:t>项目经费</w:t>
            </w:r>
          </w:p>
        </w:tc>
      </w:tr>
      <w:tr>
        <w:tblPrEx>
          <w:tblLayout w:type="fixed"/>
          <w:tblCellMar>
            <w:top w:w="15" w:type="dxa"/>
            <w:left w:w="15" w:type="dxa"/>
            <w:bottom w:w="15" w:type="dxa"/>
            <w:right w:w="15" w:type="dxa"/>
          </w:tblCellMar>
        </w:tblPrEx>
        <w:trPr>
          <w:trHeight w:val="853" w:hRule="atLeast"/>
        </w:trPr>
        <w:tc>
          <w:tcPr>
            <w:tcW w:w="127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MLS1801</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张千友</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成都学院</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中国马铃薯市场价格预测研究——基于产销信息监测预警视角</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重点项目</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15000</w:t>
            </w:r>
          </w:p>
        </w:tc>
      </w:tr>
      <w:tr>
        <w:tblPrEx>
          <w:tblLayout w:type="fixed"/>
          <w:tblCellMar>
            <w:top w:w="15" w:type="dxa"/>
            <w:left w:w="15" w:type="dxa"/>
            <w:bottom w:w="15" w:type="dxa"/>
            <w:right w:w="15" w:type="dxa"/>
          </w:tblCellMar>
        </w:tblPrEx>
        <w:trPr>
          <w:trHeight w:val="615" w:hRule="atLeast"/>
        </w:trPr>
        <w:tc>
          <w:tcPr>
            <w:tcW w:w="127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MLS1802</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宗平</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四川旅游学院</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乡村振兴与马铃薯产业发展研究</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重点项目</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15000</w:t>
            </w:r>
          </w:p>
        </w:tc>
      </w:tr>
      <w:tr>
        <w:tblPrEx>
          <w:tblLayout w:type="fixed"/>
          <w:tblCellMar>
            <w:top w:w="15" w:type="dxa"/>
            <w:left w:w="15" w:type="dxa"/>
            <w:bottom w:w="15" w:type="dxa"/>
            <w:right w:w="15" w:type="dxa"/>
          </w:tblCellMar>
        </w:tblPrEx>
        <w:trPr>
          <w:trHeight w:val="615" w:hRule="atLeast"/>
        </w:trPr>
        <w:tc>
          <w:tcPr>
            <w:tcW w:w="127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MLS1803</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孙根紧</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四川农业大学</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供给侧改革与需求侧管理协同视角下四川省马铃薯产业转型升级研究</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重点项目</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15000</w:t>
            </w:r>
          </w:p>
        </w:tc>
      </w:tr>
      <w:tr>
        <w:tblPrEx>
          <w:tblLayout w:type="fixed"/>
          <w:tblCellMar>
            <w:top w:w="15" w:type="dxa"/>
            <w:left w:w="15" w:type="dxa"/>
            <w:bottom w:w="15" w:type="dxa"/>
            <w:right w:w="15" w:type="dxa"/>
          </w:tblCellMar>
        </w:tblPrEx>
        <w:trPr>
          <w:trHeight w:val="615" w:hRule="atLeast"/>
        </w:trPr>
        <w:tc>
          <w:tcPr>
            <w:tcW w:w="127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MLS1804</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黄静玮</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成都学院</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新品种、新技术对四川省马铃薯绿色产业发展的作用机制</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一般项目</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7000</w:t>
            </w:r>
          </w:p>
        </w:tc>
      </w:tr>
      <w:tr>
        <w:tblPrEx>
          <w:tblLayout w:type="fixed"/>
          <w:tblCellMar>
            <w:top w:w="15" w:type="dxa"/>
            <w:left w:w="15" w:type="dxa"/>
            <w:bottom w:w="15" w:type="dxa"/>
            <w:right w:w="15" w:type="dxa"/>
          </w:tblCellMar>
        </w:tblPrEx>
        <w:trPr>
          <w:trHeight w:val="615" w:hRule="atLeast"/>
        </w:trPr>
        <w:tc>
          <w:tcPr>
            <w:tcW w:w="127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MLS1805</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张箭</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四川大学</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马铃薯在世界上的曲折发展传播史考察</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一般项目</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7000</w:t>
            </w:r>
          </w:p>
        </w:tc>
      </w:tr>
      <w:tr>
        <w:tblPrEx>
          <w:tblLayout w:type="fixed"/>
          <w:tblCellMar>
            <w:top w:w="15" w:type="dxa"/>
            <w:left w:w="15" w:type="dxa"/>
            <w:bottom w:w="15" w:type="dxa"/>
            <w:right w:w="15" w:type="dxa"/>
          </w:tblCellMar>
        </w:tblPrEx>
        <w:trPr>
          <w:trHeight w:val="615" w:hRule="atLeast"/>
        </w:trPr>
        <w:tc>
          <w:tcPr>
            <w:tcW w:w="127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MLS1806</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侯汝军</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四川大学</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本土马铃薯副食品品牌包装设计</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一般项目</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7000</w:t>
            </w:r>
          </w:p>
        </w:tc>
      </w:tr>
      <w:tr>
        <w:tblPrEx>
          <w:tblLayout w:type="fixed"/>
          <w:tblCellMar>
            <w:top w:w="15" w:type="dxa"/>
            <w:left w:w="15" w:type="dxa"/>
            <w:bottom w:w="15" w:type="dxa"/>
            <w:right w:w="15" w:type="dxa"/>
          </w:tblCellMar>
        </w:tblPrEx>
        <w:trPr>
          <w:trHeight w:val="615" w:hRule="atLeast"/>
        </w:trPr>
        <w:tc>
          <w:tcPr>
            <w:tcW w:w="127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MLS1807</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蔡昌艳</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西昌学院</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基于VAR模型的凉山州马铃薯产业发展的减贫效果及对策研究</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一般项目</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7000</w:t>
            </w:r>
          </w:p>
        </w:tc>
      </w:tr>
      <w:tr>
        <w:tblPrEx>
          <w:tblLayout w:type="fixed"/>
          <w:tblCellMar>
            <w:top w:w="15" w:type="dxa"/>
            <w:left w:w="15" w:type="dxa"/>
            <w:bottom w:w="15" w:type="dxa"/>
            <w:right w:w="15" w:type="dxa"/>
          </w:tblCellMar>
        </w:tblPrEx>
        <w:trPr>
          <w:trHeight w:val="615" w:hRule="atLeast"/>
        </w:trPr>
        <w:tc>
          <w:tcPr>
            <w:tcW w:w="1276" w:type="dxa"/>
            <w:tcBorders>
              <w:top w:val="single" w:color="000000" w:sz="4" w:space="0"/>
              <w:left w:val="single" w:color="000000" w:sz="4" w:space="0"/>
              <w:bottom w:val="single" w:color="000000" w:sz="4" w:space="0"/>
              <w:right w:val="single" w:color="000000" w:sz="4" w:space="0"/>
            </w:tcBorders>
            <w:shd w:val="clear" w:color="000000" w:fill="FFFFFF"/>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MLS1808</w:t>
            </w:r>
          </w:p>
        </w:tc>
        <w:tc>
          <w:tcPr>
            <w:tcW w:w="1263"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杨琇岚</w:t>
            </w:r>
          </w:p>
        </w:tc>
        <w:tc>
          <w:tcPr>
            <w:tcW w:w="2337"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西昌学院</w:t>
            </w:r>
          </w:p>
        </w:tc>
        <w:tc>
          <w:tcPr>
            <w:tcW w:w="539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马铃薯电子商务的瓶颈与对策研究——以凉山州为例</w:t>
            </w:r>
          </w:p>
        </w:tc>
        <w:tc>
          <w:tcPr>
            <w:tcW w:w="1261"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一般项目</w:t>
            </w:r>
          </w:p>
        </w:tc>
        <w:tc>
          <w:tcPr>
            <w:tcW w:w="1250"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left"/>
              <w:rPr>
                <w:rFonts w:hint="eastAsia" w:ascii="仿宋_GB2312" w:hAnsi="宋体" w:eastAsia="仿宋_GB2312" w:cs="宋体"/>
                <w:color w:val="000000"/>
                <w:kern w:val="0"/>
                <w:sz w:val="24"/>
                <w:szCs w:val="24"/>
              </w:rPr>
            </w:pPr>
            <w:r>
              <w:rPr>
                <w:rFonts w:hint="eastAsia" w:ascii="仿宋_GB2312" w:hAnsi="宋体" w:eastAsia="仿宋_GB2312" w:cs="宋体"/>
                <w:color w:val="000000"/>
                <w:kern w:val="0"/>
                <w:sz w:val="24"/>
                <w:szCs w:val="24"/>
              </w:rPr>
              <w:t>7000</w:t>
            </w:r>
          </w:p>
        </w:tc>
      </w:tr>
    </w:tbl>
    <w:p/>
    <w:sectPr>
      <w:pgSz w:w="16838" w:h="11906" w:orient="landscape"/>
      <w:pgMar w:top="1803" w:right="1440" w:bottom="1803" w:left="1440" w:header="851" w:footer="992" w:gutter="0"/>
      <w:paperSrc/>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5C6280F"/>
    <w:rsid w:val="6D535020"/>
    <w:rsid w:val="75C628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header"/>
    <w:basedOn w:val="1"/>
    <w:qFormat/>
    <w:uiPriority w:val="0"/>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TotalTime>
  <ScaleCrop>false</ScaleCrop>
  <LinksUpToDate>false</LinksUpToDate>
  <CharactersWithSpaces>0</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2018-07-14T03:46:00Z</dcterms:created>
  <dc:creator>caicy</dc:creator>
  <cp:lastModifiedBy>caicy</cp:lastModifiedBy>
  <dcterms:modified xsi:type="dcterms:W3CDTF">2018-07-14T03:47:50Z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